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2lwamvv" w:id="0"/>
      <w:bookmarkEnd w:id="0"/>
      <w:r w:rsidDel="00000000" w:rsidR="00000000" w:rsidRPr="00000000">
        <w:rPr>
          <w:rFonts w:ascii="Calibri" w:cs="Calibri" w:eastAsia="Calibri" w:hAnsi="Calibri"/>
          <w:rtl w:val="0"/>
        </w:rPr>
        <w:t xml:space="preserve">DRUGS AND ALCOHOL IN THE WORKPLACE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impairment as a serious health and safety issue in the workplace as it can reduce the abilities and judgment of employees. We also recognize that substance abuse and dependency are medical issues that certain employees may struggle with. [Organization Name] is therefore committed to: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in the workplace; and</w:t>
      </w:r>
    </w:p>
    <w:p w:rsidR="00000000" w:rsidDel="00000000" w:rsidP="00000000" w:rsidRDefault="00000000" w:rsidRPr="00000000" w14:paraId="0000000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any employees with dependency issues.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Medical Marijuana: Cannabis that is used for a medical purpose.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To protect our organization, employees, clients, and the public at large, [Organization Name] prohibits the use of any substances that lead to impairment such as drugs or alcohol, whether legal or illegal, while in the workplace or representing [Organization Name], unless they have been authorized in writing for use by management for medical reasons or in special circumstances such as a company event.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fail to comply with this policy may face disciplinary action, including termination, or the involvement of the authorities, where necessary. </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Safety Concerns with Machinery or Equipment</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Driving or operating machinery, including work vehicles, while under the influence is also strictly prohibited.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an employee who operates machinery or equipment, including company vehicles, report to work and inform their supervisor/manager of their current state of impairment, their supervisor or manager is required to take immediate action, which may include sending the employee home in a taxicab or other commercial vehicle, and pursuing disciplinary action at a later date when the employee is no longer impaired.</w:t>
      </w:r>
    </w:p>
    <w:p w:rsidR="00000000" w:rsidDel="00000000" w:rsidP="00000000" w:rsidRDefault="00000000" w:rsidRPr="00000000" w14:paraId="0000001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Solicitation or Possession of Illegal Substances</w: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 </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Work Events</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Certain work situations (work parties, events, etc.) may allow for consumption of </w:t>
      </w:r>
      <w:r w:rsidDel="00000000" w:rsidR="00000000" w:rsidRPr="00000000">
        <w:rPr>
          <w:rFonts w:ascii="Calibri" w:cs="Calibri" w:eastAsia="Calibri" w:hAnsi="Calibri"/>
          <w:u w:val="single"/>
          <w:rtl w:val="0"/>
        </w:rPr>
        <w:t xml:space="preserve">legal</w:t>
      </w:r>
      <w:r w:rsidDel="00000000" w:rsidR="00000000" w:rsidRPr="00000000">
        <w:rPr>
          <w:rFonts w:ascii="Calibri" w:cs="Calibri" w:eastAsia="Calibri" w:hAnsi="Calibri"/>
          <w:rtl w:val="0"/>
        </w:rPr>
        <w:t xml:space="preserve"> substances. These exceptions to company policy will be communicated by management and employees will be expected to use appropriate judgement and reasonable consumption levels while in these situations.</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Duty to Accommodate</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disability-related accommodation up to the point of undue hardship to employees who come forward with an addiction or dependency or to employees who require cannabis for a medical purpose related to a disability under </w:t>
      </w:r>
      <w:r w:rsidDel="00000000" w:rsidR="00000000" w:rsidRPr="00000000">
        <w:rPr>
          <w:rFonts w:ascii="Calibri" w:cs="Calibri" w:eastAsia="Calibri" w:hAnsi="Calibri"/>
          <w:i w:val="1"/>
          <w:rtl w:val="0"/>
        </w:rPr>
        <w:t xml:space="preserve">Yukon’s Human Rights Code</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or HR team member so proper and appropriate accommodations can be organized. They may do so without fear of negative consequences. All employee medical information will be treated as confidential.</w:t>
      </w:r>
    </w:p>
    <w:p w:rsidR="00000000" w:rsidDel="00000000" w:rsidP="00000000" w:rsidRDefault="00000000" w:rsidRPr="00000000" w14:paraId="00000027">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2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2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2A">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2B">
      <w:pPr>
        <w:numPr>
          <w:ilvl w:val="0"/>
          <w:numId w:val="4"/>
        </w:numPr>
        <w:spacing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2C">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2D">
      <w:pPr>
        <w:numPr>
          <w:ilvl w:val="2"/>
          <w:numId w:val="4"/>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2F">
      <w:pPr>
        <w:numPr>
          <w:ilvl w:val="0"/>
          <w:numId w:val="4"/>
        </w:numPr>
        <w:spacing w:after="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30">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Medical Use of Cannabis</w:t>
      </w: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accordance with smoking and human rights laws: </w:t>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numPr>
          <w:ilvl w:val="0"/>
          <w:numId w:val="6"/>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may not smoke or vape cannabis for a medical purpose related to a disability in places where laws or rules prohibit smoking or vaping cannabis and tobacco for public health reasons.</w:t>
      </w:r>
    </w:p>
    <w:p w:rsidR="00000000" w:rsidDel="00000000" w:rsidP="00000000" w:rsidRDefault="00000000" w:rsidRPr="00000000" w14:paraId="00000036">
      <w:pPr>
        <w:numPr>
          <w:ilvl w:val="0"/>
          <w:numId w:val="5"/>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Where there is medical need to smoke or vape cannabis, [Organization Name] will allow an employee who smokes cannabis for a medical purpose to smoke outside in places where smoking is permitted by law.</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hd w:fill="ffffff" w:val="clear"/>
        <w:spacing w:after="300" w:line="24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w:t>
      </w:r>
    </w:p>
    <w:p w:rsidR="00000000" w:rsidDel="00000000" w:rsidP="00000000" w:rsidRDefault="00000000" w:rsidRPr="00000000" w14:paraId="0000003B">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Following the procedures outlined in this policy</w:t>
      </w:r>
    </w:p>
    <w:p w:rsidR="00000000" w:rsidDel="00000000" w:rsidP="00000000" w:rsidRDefault="00000000" w:rsidRPr="00000000" w14:paraId="0000003C">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Informing their supervisor/manager in the event they are under medical care and require the use of a prescription drug which may impair their abilities</w:t>
      </w:r>
    </w:p>
    <w:p w:rsidR="00000000" w:rsidDel="00000000" w:rsidP="00000000" w:rsidRDefault="00000000" w:rsidRPr="00000000" w14:paraId="0000003D">
      <w:pPr>
        <w:numPr>
          <w:ilvl w:val="1"/>
          <w:numId w:val="1"/>
        </w:numPr>
        <w:shd w:fill="ffffff"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3E">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must also inform their supervisor/manager in the event they arrive at work impaired</w:t>
      </w:r>
    </w:p>
    <w:p w:rsidR="00000000" w:rsidDel="00000000" w:rsidP="00000000" w:rsidRDefault="00000000" w:rsidRPr="00000000" w14:paraId="0000003F">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40">
      <w:pPr>
        <w:numPr>
          <w:ilvl w:val="0"/>
          <w:numId w:val="1"/>
        </w:numPr>
        <w:shd w:fill="ffffff" w:val="clear"/>
        <w:spacing w:after="300"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Using their judgement in the case of work events, either taking place off-site or at [Organization Name]’s premises</w:t>
      </w:r>
    </w:p>
    <w:p w:rsidR="00000000" w:rsidDel="00000000" w:rsidP="00000000" w:rsidRDefault="00000000" w:rsidRPr="00000000" w14:paraId="00000041">
      <w:pPr>
        <w:shd w:fill="ffffff"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Supervisor/Manager Responsibilities</w:t>
      </w:r>
      <w:r w:rsidDel="00000000" w:rsidR="00000000" w:rsidRPr="00000000">
        <w:rPr>
          <w:rtl w:val="0"/>
        </w:rPr>
      </w:r>
    </w:p>
    <w:p w:rsidR="00000000" w:rsidDel="00000000" w:rsidP="00000000" w:rsidRDefault="00000000" w:rsidRPr="00000000" w14:paraId="0000004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Supervisors/Managers are also responsible for: </w:t>
      </w:r>
    </w:p>
    <w:p w:rsidR="00000000" w:rsidDel="00000000" w:rsidP="00000000" w:rsidRDefault="00000000" w:rsidRPr="00000000" w14:paraId="0000004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Informing employees about and enforcing the company’s drug and alcohol policy</w:t>
      </w:r>
    </w:p>
    <w:p w:rsidR="00000000" w:rsidDel="00000000" w:rsidP="00000000" w:rsidRDefault="00000000" w:rsidRPr="00000000" w14:paraId="00000046">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Ensuring employees under their direct supervision are fit for work</w:t>
      </w:r>
    </w:p>
    <w:p w:rsidR="00000000" w:rsidDel="00000000" w:rsidP="00000000" w:rsidRDefault="00000000" w:rsidRPr="00000000" w14:paraId="00000047">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Alerting the authorities should an employee attempt to drive while under the influence or a legal or illegal substance </w:t>
      </w:r>
    </w:p>
    <w:p w:rsidR="00000000" w:rsidDel="00000000" w:rsidP="00000000" w:rsidRDefault="00000000" w:rsidRPr="00000000" w14:paraId="00000048">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Providing job accommodation to employees who require it</w:t>
      </w:r>
    </w:p>
    <w:p w:rsidR="00000000" w:rsidDel="00000000" w:rsidP="00000000" w:rsidRDefault="00000000" w:rsidRPr="00000000" w14:paraId="00000049">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4A">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Completing the below reasonable suspicion checklist if they suspect that an employee is impaired while at work</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